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rPr/>
      </w:pPr>
      <w:r>
        <w:rPr>
          <w:rFonts w:cs="Times New Roman" w:ascii="Times New Roman" w:hAnsi="Times New Roman"/>
          <w:b/>
          <w:bCs/>
          <w:sz w:val="56"/>
          <w:szCs w:val="56"/>
          <w:lang w:val="en-GB"/>
        </w:rPr>
        <w:t xml:space="preserve">Väderstad </w:t>
      </w:r>
      <w:r>
        <w:rPr>
          <w:rFonts w:cs="Times New Roman" w:ascii="Times New Roman" w:hAnsi="Times New Roman"/>
          <w:b/>
          <w:bCs/>
          <w:sz w:val="56"/>
          <w:szCs w:val="56"/>
          <w:lang w:val="en-GB"/>
        </w:rPr>
        <w:t>esitleb</w:t>
      </w:r>
      <w:r>
        <w:rPr>
          <w:rFonts w:cs="Times New Roman" w:ascii="Times New Roman" w:hAnsi="Times New Roman"/>
          <w:b/>
          <w:bCs/>
          <w:sz w:val="56"/>
          <w:szCs w:val="56"/>
          <w:lang w:val="en-GB"/>
        </w:rPr>
        <w:t xml:space="preserve"> uu</w:t>
      </w:r>
      <w:r>
        <w:rPr>
          <w:rFonts w:cs="Times New Roman" w:ascii="Times New Roman" w:hAnsi="Times New Roman"/>
          <w:b/>
          <w:bCs/>
          <w:sz w:val="56"/>
          <w:szCs w:val="56"/>
          <w:lang w:val="en-GB"/>
        </w:rPr>
        <w:t>t</w:t>
      </w:r>
      <w:r>
        <w:rPr>
          <w:rFonts w:cs="Times New Roman" w:ascii="Times New Roman" w:hAnsi="Times New Roman"/>
          <w:b/>
          <w:bCs/>
          <w:sz w:val="56"/>
          <w:szCs w:val="56"/>
          <w:lang w:val="en-GB"/>
        </w:rPr>
        <w:t xml:space="preserve"> esiriista, mis maksimeerib Carrier XT ja Carrier XL mullaharimise intensiivsust</w:t>
        <w:br/>
      </w:r>
      <w:r>
        <w:rPr>
          <w:rFonts w:cs="Times New Roman" w:ascii="Times New Roman" w:hAnsi="Times New Roman"/>
          <w:b/>
          <w:bCs/>
          <w:sz w:val="28"/>
          <w:szCs w:val="28"/>
          <w:lang w:val="en-GB"/>
        </w:rPr>
        <w:t xml:space="preserve">Väderstad, maailma juhtivaid ettevõtteid mullaharimise </w:t>
      </w:r>
      <w:r>
        <w:rPr>
          <w:rFonts w:cs="Times New Roman" w:ascii="Times New Roman" w:hAnsi="Times New Roman"/>
          <w:b/>
          <w:bCs/>
          <w:sz w:val="28"/>
          <w:szCs w:val="28"/>
          <w:lang w:val="en-GB"/>
        </w:rPr>
        <w:t>ning</w:t>
      </w:r>
      <w:r>
        <w:rPr>
          <w:rFonts w:cs="Times New Roman" w:ascii="Times New Roman" w:hAnsi="Times New Roman"/>
          <w:b/>
          <w:bCs/>
          <w:sz w:val="28"/>
          <w:szCs w:val="28"/>
          <w:lang w:val="en-GB"/>
        </w:rPr>
        <w:t xml:space="preserve"> </w:t>
      </w:r>
      <w:r>
        <w:rPr>
          <w:rFonts w:cs="Times New Roman" w:ascii="Times New Roman" w:hAnsi="Times New Roman"/>
          <w:b/>
          <w:bCs/>
          <w:sz w:val="28"/>
          <w:szCs w:val="28"/>
          <w:lang w:val="en-GB"/>
        </w:rPr>
        <w:t>täppis- ja tavakülvi</w:t>
      </w:r>
      <w:r>
        <w:rPr>
          <w:rFonts w:cs="Times New Roman" w:ascii="Times New Roman" w:hAnsi="Times New Roman"/>
          <w:b/>
          <w:bCs/>
          <w:sz w:val="28"/>
          <w:szCs w:val="28"/>
          <w:lang w:val="en-GB"/>
        </w:rPr>
        <w:t xml:space="preserve"> valdkonnas, tutvustab </w:t>
      </w:r>
      <w:r>
        <w:rPr>
          <w:rFonts w:cs="Times New Roman" w:ascii="Times New Roman" w:hAnsi="Times New Roman"/>
          <w:b/>
          <w:bCs/>
          <w:sz w:val="28"/>
          <w:szCs w:val="28"/>
          <w:lang w:val="en-GB"/>
        </w:rPr>
        <w:t>ketasrandaalide</w:t>
      </w:r>
      <w:r>
        <w:rPr>
          <w:rFonts w:cs="Times New Roman" w:ascii="Times New Roman" w:hAnsi="Times New Roman"/>
          <w:b/>
          <w:bCs/>
          <w:sz w:val="28"/>
          <w:szCs w:val="28"/>
          <w:lang w:val="en-GB"/>
        </w:rPr>
        <w:t xml:space="preserve"> Carrier XT 425–625 ja Carrier XL 425–725 uut e</w:t>
      </w:r>
      <w:r>
        <w:rPr>
          <w:rFonts w:cs="Times New Roman" w:ascii="Times New Roman" w:hAnsi="Times New Roman"/>
          <w:b/>
          <w:bCs/>
          <w:sz w:val="28"/>
          <w:szCs w:val="28"/>
          <w:lang w:val="en-GB"/>
        </w:rPr>
        <w:t>es</w:t>
      </w:r>
      <w:r>
        <w:rPr>
          <w:rFonts w:cs="Times New Roman" w:ascii="Times New Roman" w:hAnsi="Times New Roman"/>
          <w:b/>
          <w:bCs/>
          <w:sz w:val="28"/>
          <w:szCs w:val="28"/>
          <w:lang w:val="en-GB"/>
        </w:rPr>
        <w:t>riista valikut: kolmandat ketta</w:t>
      </w:r>
      <w:r>
        <w:rPr>
          <w:rFonts w:cs="Times New Roman" w:ascii="Times New Roman" w:hAnsi="Times New Roman"/>
          <w:b/>
          <w:bCs/>
          <w:sz w:val="28"/>
          <w:szCs w:val="28"/>
          <w:lang w:val="en-GB"/>
        </w:rPr>
        <w:t>telge</w:t>
      </w:r>
      <w:r>
        <w:rPr>
          <w:rFonts w:cs="Times New Roman" w:ascii="Times New Roman" w:hAnsi="Times New Roman"/>
          <w:b/>
          <w:bCs/>
          <w:sz w:val="28"/>
          <w:szCs w:val="28"/>
          <w:lang w:val="en-GB"/>
        </w:rPr>
        <w:t xml:space="preserve">. See arendus </w:t>
      </w:r>
      <w:r>
        <w:rPr>
          <w:rFonts w:cs="Times New Roman" w:ascii="Times New Roman" w:hAnsi="Times New Roman"/>
          <w:b/>
          <w:bCs/>
          <w:sz w:val="28"/>
          <w:szCs w:val="28"/>
          <w:lang w:val="en-GB"/>
        </w:rPr>
        <w:t>on väga oluline samm edasi</w:t>
      </w:r>
      <w:r>
        <w:rPr>
          <w:rFonts w:cs="Times New Roman" w:ascii="Times New Roman" w:hAnsi="Times New Roman"/>
          <w:b/>
          <w:bCs/>
          <w:sz w:val="28"/>
          <w:szCs w:val="28"/>
          <w:lang w:val="en-GB"/>
        </w:rPr>
        <w:t xml:space="preserve"> </w:t>
      </w:r>
      <w:r>
        <w:rPr>
          <w:rFonts w:cs="Times New Roman" w:ascii="Times New Roman" w:hAnsi="Times New Roman"/>
          <w:b/>
          <w:bCs/>
          <w:sz w:val="28"/>
          <w:szCs w:val="28"/>
          <w:lang w:val="en-GB"/>
        </w:rPr>
        <w:t>väga pinnalähedases</w:t>
      </w:r>
      <w:r>
        <w:rPr>
          <w:rFonts w:cs="Times New Roman" w:ascii="Times New Roman" w:hAnsi="Times New Roman"/>
          <w:b/>
          <w:bCs/>
          <w:sz w:val="28"/>
          <w:szCs w:val="28"/>
          <w:lang w:val="en-GB"/>
        </w:rPr>
        <w:t xml:space="preserve"> mullaharimises ja mehaanilises umbrohutõrjes – eriti võitluses herbitsiidiresistentsete umbrohtude, näiteks </w:t>
      </w:r>
      <w:r>
        <w:rPr>
          <w:rFonts w:cs="Times New Roman" w:ascii="Times New Roman" w:hAnsi="Times New Roman"/>
          <w:b/>
          <w:bCs/>
          <w:sz w:val="28"/>
          <w:szCs w:val="28"/>
          <w:lang w:val="en-GB"/>
        </w:rPr>
        <w:t>põld-rebasesaba</w:t>
      </w:r>
      <w:r>
        <w:rPr>
          <w:rFonts w:cs="Times New Roman" w:ascii="Times New Roman" w:hAnsi="Times New Roman"/>
          <w:b/>
          <w:bCs/>
          <w:sz w:val="28"/>
          <w:szCs w:val="28"/>
          <w:lang w:val="en-GB"/>
        </w:rPr>
        <w:t xml:space="preserve"> vastu.</w:t>
      </w:r>
    </w:p>
    <w:p>
      <w:pPr>
        <w:pStyle w:val="Normal"/>
        <w:spacing w:lineRule="auto" w:line="276"/>
        <w:rPr>
          <w:rFonts w:ascii="Times New Roman" w:hAnsi="Times New Roman" w:cs="Times New Roman"/>
          <w:sz w:val="24"/>
          <w:szCs w:val="24"/>
          <w:lang w:val="en-GB"/>
        </w:rPr>
      </w:pPr>
      <w:r>
        <w:rPr/>
      </w:r>
    </w:p>
    <w:p>
      <w:pPr>
        <w:pStyle w:val="Normal"/>
        <w:spacing w:lineRule="auto" w:line="276"/>
        <w:rPr/>
      </w:pPr>
      <w:r>
        <w:rPr>
          <w:rFonts w:cs="Times New Roman" w:ascii="Times New Roman" w:hAnsi="Times New Roman"/>
          <w:sz w:val="24"/>
          <w:szCs w:val="24"/>
          <w:lang w:val="en-GB"/>
        </w:rPr>
        <w:t>Uus kolmanda ketta</w:t>
      </w:r>
      <w:r>
        <w:rPr>
          <w:rFonts w:cs="Times New Roman" w:ascii="Times New Roman" w:hAnsi="Times New Roman"/>
          <w:sz w:val="24"/>
          <w:szCs w:val="24"/>
          <w:lang w:val="en-GB"/>
        </w:rPr>
        <w:t>teljega</w:t>
      </w:r>
      <w:r>
        <w:rPr>
          <w:rFonts w:cs="Times New Roman" w:ascii="Times New Roman" w:hAnsi="Times New Roman"/>
          <w:sz w:val="24"/>
          <w:szCs w:val="24"/>
          <w:lang w:val="en-GB"/>
        </w:rPr>
        <w:t xml:space="preserve"> konfiguratsioon, mis on saadaval Carrier XL 425–725 ja Carrier XT 425–625 jaoks, suurendab ketaste tihedust kahelt realt kolmele </w:t>
      </w:r>
      <w:r>
        <w:rPr>
          <w:rFonts w:cs="Times New Roman" w:ascii="Times New Roman" w:hAnsi="Times New Roman"/>
          <w:sz w:val="24"/>
          <w:szCs w:val="24"/>
          <w:lang w:val="en-GB"/>
        </w:rPr>
        <w:t>ja</w:t>
      </w:r>
      <w:r>
        <w:rPr>
          <w:rFonts w:cs="Times New Roman" w:ascii="Times New Roman" w:hAnsi="Times New Roman"/>
          <w:sz w:val="24"/>
          <w:szCs w:val="24"/>
          <w:lang w:val="en-GB"/>
        </w:rPr>
        <w:t xml:space="preserve"> vähenda</w:t>
      </w:r>
      <w:r>
        <w:rPr>
          <w:rFonts w:cs="Times New Roman" w:ascii="Times New Roman" w:hAnsi="Times New Roman"/>
          <w:sz w:val="24"/>
          <w:szCs w:val="24"/>
          <w:lang w:val="en-GB"/>
        </w:rPr>
        <w:t>b</w:t>
      </w:r>
      <w:r>
        <w:rPr>
          <w:rFonts w:cs="Times New Roman" w:ascii="Times New Roman" w:hAnsi="Times New Roman"/>
          <w:sz w:val="24"/>
          <w:szCs w:val="24"/>
          <w:lang w:val="en-GB"/>
        </w:rPr>
        <w:t xml:space="preserve"> ketaste vahekaugust vaid 8,3 cm-ni. Selle tulemuseks on 50% rohkem tööriistu maapinnas, mis tagab intensiivse segamise, purustamise ja jääkide käitlemise.</w:t>
      </w:r>
    </w:p>
    <w:p>
      <w:pPr>
        <w:pStyle w:val="Normal"/>
        <w:spacing w:lineRule="auto" w:line="276"/>
        <w:rPr/>
      </w:pPr>
      <w:r>
        <w:rPr>
          <w:rFonts w:cs="Times New Roman" w:ascii="Times New Roman" w:hAnsi="Times New Roman"/>
          <w:sz w:val="24"/>
          <w:szCs w:val="24"/>
          <w:lang w:val="en-GB"/>
        </w:rPr>
        <w:t xml:space="preserve">- Kolme rea CrossCutter Disc ketastega me mitte ainult ei paranda töötulemust, vaid anname uue tähenduse sellele, mida </w:t>
      </w:r>
      <w:r>
        <w:rPr>
          <w:rFonts w:cs="Times New Roman" w:ascii="Times New Roman" w:hAnsi="Times New Roman"/>
          <w:sz w:val="24"/>
          <w:szCs w:val="24"/>
          <w:lang w:val="en-GB"/>
        </w:rPr>
        <w:t>väga pinnalähedase</w:t>
      </w:r>
      <w:r>
        <w:rPr>
          <w:rFonts w:cs="Times New Roman" w:ascii="Times New Roman" w:hAnsi="Times New Roman"/>
          <w:sz w:val="24"/>
          <w:szCs w:val="24"/>
          <w:lang w:val="en-GB"/>
        </w:rPr>
        <w:t xml:space="preserve"> mullaharimi</w:t>
      </w:r>
      <w:r>
        <w:rPr>
          <w:rFonts w:cs="Times New Roman" w:ascii="Times New Roman" w:hAnsi="Times New Roman"/>
          <w:sz w:val="24"/>
          <w:szCs w:val="24"/>
          <w:lang w:val="en-GB"/>
        </w:rPr>
        <w:t xml:space="preserve">sega </w:t>
      </w:r>
      <w:r>
        <w:rPr>
          <w:rFonts w:cs="Times New Roman" w:ascii="Times New Roman" w:hAnsi="Times New Roman"/>
          <w:sz w:val="24"/>
          <w:szCs w:val="24"/>
          <w:lang w:val="en-GB"/>
        </w:rPr>
        <w:t xml:space="preserve">saavutada </w:t>
      </w:r>
      <w:r>
        <w:rPr>
          <w:rFonts w:cs="Times New Roman" w:ascii="Times New Roman" w:hAnsi="Times New Roman"/>
          <w:sz w:val="24"/>
          <w:szCs w:val="24"/>
          <w:lang w:val="en-GB"/>
        </w:rPr>
        <w:t>on võimalik</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selgitab</w:t>
      </w:r>
      <w:r>
        <w:rPr>
          <w:rFonts w:cs="Times New Roman" w:ascii="Times New Roman" w:hAnsi="Times New Roman"/>
          <w:sz w:val="24"/>
          <w:szCs w:val="24"/>
          <w:lang w:val="en-GB"/>
        </w:rPr>
        <w:t xml:space="preserve"> Väderstadi mullaharimise kommertsjuht Wolfram Hastolz.</w:t>
      </w:r>
    </w:p>
    <w:p>
      <w:pPr>
        <w:pStyle w:val="Normal"/>
        <w:spacing w:lineRule="auto" w:line="276"/>
        <w:rPr/>
      </w:pPr>
      <w:r>
        <w:rPr>
          <w:rFonts w:cs="Times New Roman" w:ascii="Times New Roman" w:hAnsi="Times New Roman"/>
          <w:sz w:val="24"/>
          <w:szCs w:val="24"/>
          <w:lang w:val="en-GB"/>
        </w:rPr>
        <w:t xml:space="preserve">Masinad </w:t>
      </w:r>
      <w:r>
        <w:rPr>
          <w:rFonts w:cs="Times New Roman" w:ascii="Times New Roman" w:hAnsi="Times New Roman"/>
          <w:sz w:val="24"/>
          <w:szCs w:val="24"/>
          <w:lang w:val="en-GB"/>
        </w:rPr>
        <w:t>hävitavad suurel hulgal umbrohtusid</w:t>
      </w:r>
      <w:r>
        <w:rPr>
          <w:rFonts w:cs="Times New Roman" w:ascii="Times New Roman" w:hAnsi="Times New Roman"/>
          <w:sz w:val="24"/>
          <w:szCs w:val="24"/>
          <w:lang w:val="en-GB"/>
        </w:rPr>
        <w:t>, säilitavad mulla niiskuse ja vähendavad kütusekulu – muutes need heaks valikuks nii tavapäraste kui ka mahepõllumajanduse süsteemide jaoks.</w:t>
      </w:r>
    </w:p>
    <w:p>
      <w:pPr>
        <w:pStyle w:val="Normal"/>
        <w:spacing w:lineRule="auto" w:line="276"/>
        <w:rPr/>
      </w:pPr>
      <w:r>
        <w:rPr>
          <w:rFonts w:cs="Times New Roman" w:ascii="Times New Roman" w:hAnsi="Times New Roman"/>
          <w:sz w:val="24"/>
          <w:szCs w:val="24"/>
          <w:lang w:val="en-GB"/>
        </w:rPr>
        <w:t>- See uus e</w:t>
      </w:r>
      <w:r>
        <w:rPr>
          <w:rFonts w:cs="Times New Roman" w:ascii="Times New Roman" w:hAnsi="Times New Roman"/>
          <w:sz w:val="24"/>
          <w:szCs w:val="24"/>
          <w:lang w:val="en-GB"/>
        </w:rPr>
        <w:t>es</w:t>
      </w:r>
      <w:r>
        <w:rPr>
          <w:rFonts w:cs="Times New Roman" w:ascii="Times New Roman" w:hAnsi="Times New Roman"/>
          <w:sz w:val="24"/>
          <w:szCs w:val="24"/>
          <w:lang w:val="en-GB"/>
        </w:rPr>
        <w:t>riist Carrier XT ja Carrier XL-</w:t>
      </w:r>
      <w:r>
        <w:rPr>
          <w:rFonts w:cs="Times New Roman" w:ascii="Times New Roman" w:hAnsi="Times New Roman"/>
          <w:sz w:val="24"/>
          <w:szCs w:val="24"/>
          <w:lang w:val="en-GB"/>
        </w:rPr>
        <w:t>le</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parandab oluliselt</w:t>
      </w:r>
      <w:r>
        <w:rPr>
          <w:rFonts w:cs="Times New Roman" w:ascii="Times New Roman" w:hAnsi="Times New Roman"/>
          <w:sz w:val="24"/>
          <w:szCs w:val="24"/>
          <w:lang w:val="en-GB"/>
        </w:rPr>
        <w:t xml:space="preserve"> mehaanilis</w:t>
      </w:r>
      <w:r>
        <w:rPr>
          <w:rFonts w:cs="Times New Roman" w:ascii="Times New Roman" w:hAnsi="Times New Roman"/>
          <w:sz w:val="24"/>
          <w:szCs w:val="24"/>
          <w:lang w:val="en-GB"/>
        </w:rPr>
        <w:t>t</w:t>
      </w:r>
      <w:r>
        <w:rPr>
          <w:rFonts w:cs="Times New Roman" w:ascii="Times New Roman" w:hAnsi="Times New Roman"/>
          <w:sz w:val="24"/>
          <w:szCs w:val="24"/>
          <w:lang w:val="en-GB"/>
        </w:rPr>
        <w:t xml:space="preserve"> umbrohutõrje</w:t>
      </w:r>
      <w:r>
        <w:rPr>
          <w:rFonts w:cs="Times New Roman" w:ascii="Times New Roman" w:hAnsi="Times New Roman"/>
          <w:sz w:val="24"/>
          <w:szCs w:val="24"/>
          <w:lang w:val="en-GB"/>
        </w:rPr>
        <w:t>t</w:t>
      </w:r>
      <w:r>
        <w:rPr>
          <w:rFonts w:cs="Times New Roman" w:ascii="Times New Roman" w:hAnsi="Times New Roman"/>
          <w:sz w:val="24"/>
          <w:szCs w:val="24"/>
          <w:lang w:val="en-GB"/>
        </w:rPr>
        <w:t xml:space="preserve">, eriti herbitsiidiresistentse </w:t>
      </w:r>
      <w:r>
        <w:rPr>
          <w:rFonts w:cs="Times New Roman" w:ascii="Times New Roman" w:hAnsi="Times New Roman"/>
          <w:sz w:val="24"/>
          <w:szCs w:val="24"/>
          <w:lang w:val="en-GB"/>
        </w:rPr>
        <w:t>põld-rebasesaba</w:t>
      </w:r>
      <w:r>
        <w:rPr>
          <w:rFonts w:cs="Times New Roman" w:ascii="Times New Roman" w:hAnsi="Times New Roman"/>
          <w:sz w:val="24"/>
          <w:szCs w:val="24"/>
          <w:lang w:val="en-GB"/>
        </w:rPr>
        <w:t xml:space="preserve"> ja raihein</w:t>
      </w:r>
      <w:r>
        <w:rPr>
          <w:rFonts w:cs="Times New Roman" w:ascii="Times New Roman" w:hAnsi="Times New Roman"/>
          <w:sz w:val="24"/>
          <w:szCs w:val="24"/>
          <w:lang w:val="en-GB"/>
        </w:rPr>
        <w:t>te</w:t>
      </w:r>
      <w:r>
        <w:rPr>
          <w:rFonts w:cs="Times New Roman" w:ascii="Times New Roman" w:hAnsi="Times New Roman"/>
          <w:sz w:val="24"/>
          <w:szCs w:val="24"/>
          <w:lang w:val="en-GB"/>
        </w:rPr>
        <w:t xml:space="preserve"> vastu,“ ütleb Wolfram Hastolz.</w:t>
      </w:r>
    </w:p>
    <w:p>
      <w:pPr>
        <w:pStyle w:val="Normal"/>
        <w:spacing w:lineRule="auto" w:line="276"/>
        <w:rPr/>
      </w:pPr>
      <w:r>
        <w:rPr>
          <w:rFonts w:cs="Times New Roman" w:ascii="Times New Roman" w:hAnsi="Times New Roman"/>
          <w:sz w:val="24"/>
          <w:szCs w:val="24"/>
          <w:lang w:val="en-GB"/>
        </w:rPr>
        <w:t>Põldkatsed on näidanud, et uus e</w:t>
      </w:r>
      <w:r>
        <w:rPr>
          <w:rFonts w:cs="Times New Roman" w:ascii="Times New Roman" w:hAnsi="Times New Roman"/>
          <w:sz w:val="24"/>
          <w:szCs w:val="24"/>
          <w:lang w:val="en-GB"/>
        </w:rPr>
        <w:t>es</w:t>
      </w:r>
      <w:r>
        <w:rPr>
          <w:rFonts w:cs="Times New Roman" w:ascii="Times New Roman" w:hAnsi="Times New Roman"/>
          <w:sz w:val="24"/>
          <w:szCs w:val="24"/>
          <w:lang w:val="en-GB"/>
        </w:rPr>
        <w:t xml:space="preserve">riist suudab luua tugevama </w:t>
      </w:r>
      <w:r>
        <w:rPr>
          <w:rFonts w:cs="Times New Roman" w:ascii="Times New Roman" w:hAnsi="Times New Roman"/>
          <w:sz w:val="24"/>
          <w:szCs w:val="24"/>
          <w:lang w:val="en-GB"/>
        </w:rPr>
        <w:t>eel</w:t>
      </w:r>
      <w:r>
        <w:rPr>
          <w:rFonts w:cs="Times New Roman" w:ascii="Times New Roman" w:hAnsi="Times New Roman"/>
          <w:sz w:val="24"/>
          <w:szCs w:val="24"/>
          <w:lang w:val="en-GB"/>
        </w:rPr>
        <w:t xml:space="preserve">külvipinna - soodustada </w:t>
      </w:r>
      <w:r>
        <w:rPr>
          <w:rFonts w:cs="Times New Roman" w:ascii="Times New Roman" w:hAnsi="Times New Roman"/>
          <w:sz w:val="24"/>
          <w:szCs w:val="24"/>
          <w:lang w:val="en-GB"/>
        </w:rPr>
        <w:t>umbrohtude</w:t>
      </w:r>
      <w:r>
        <w:rPr>
          <w:rFonts w:cs="Times New Roman" w:ascii="Times New Roman" w:hAnsi="Times New Roman"/>
          <w:sz w:val="24"/>
          <w:szCs w:val="24"/>
          <w:lang w:val="en-GB"/>
        </w:rPr>
        <w:t xml:space="preserve"> idanemist – </w:t>
      </w:r>
      <w:r>
        <w:rPr>
          <w:rFonts w:cs="Times New Roman" w:ascii="Times New Roman" w:hAnsi="Times New Roman"/>
          <w:sz w:val="24"/>
          <w:szCs w:val="24"/>
          <w:lang w:val="en-GB"/>
        </w:rPr>
        <w:t xml:space="preserve">tagades </w:t>
      </w:r>
      <w:r>
        <w:rPr>
          <w:rFonts w:cs="Times New Roman" w:ascii="Times New Roman" w:hAnsi="Times New Roman"/>
          <w:sz w:val="24"/>
          <w:szCs w:val="24"/>
          <w:lang w:val="en-GB"/>
        </w:rPr>
        <w:t>tõhusa</w:t>
      </w:r>
      <w:r>
        <w:rPr>
          <w:rFonts w:cs="Times New Roman" w:ascii="Times New Roman" w:hAnsi="Times New Roman"/>
          <w:sz w:val="24"/>
          <w:szCs w:val="24"/>
          <w:lang w:val="en-GB"/>
        </w:rPr>
        <w:t>ma</w:t>
      </w:r>
      <w:r>
        <w:rPr>
          <w:rFonts w:cs="Times New Roman" w:ascii="Times New Roman" w:hAnsi="Times New Roman"/>
          <w:sz w:val="24"/>
          <w:szCs w:val="24"/>
          <w:lang w:val="en-GB"/>
        </w:rPr>
        <w:t xml:space="preserve"> umbroh</w:t>
      </w:r>
      <w:r>
        <w:rPr>
          <w:rFonts w:cs="Times New Roman" w:ascii="Times New Roman" w:hAnsi="Times New Roman"/>
          <w:sz w:val="24"/>
          <w:szCs w:val="24"/>
          <w:lang w:val="en-GB"/>
        </w:rPr>
        <w:t>tude</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hävitamise</w:t>
      </w:r>
      <w:r>
        <w:rPr>
          <w:rFonts w:cs="Times New Roman" w:ascii="Times New Roman" w:hAnsi="Times New Roman"/>
          <w:sz w:val="24"/>
          <w:szCs w:val="24"/>
          <w:lang w:val="en-GB"/>
        </w:rPr>
        <w:t xml:space="preserve"> teisel töökäigul. Se</w:t>
      </w:r>
      <w:r>
        <w:rPr>
          <w:rFonts w:cs="Times New Roman" w:ascii="Times New Roman" w:hAnsi="Times New Roman"/>
          <w:sz w:val="24"/>
          <w:szCs w:val="24"/>
          <w:lang w:val="en-GB"/>
        </w:rPr>
        <w:t>lline</w:t>
      </w:r>
      <w:r>
        <w:rPr>
          <w:rFonts w:cs="Times New Roman" w:ascii="Times New Roman" w:hAnsi="Times New Roman"/>
          <w:sz w:val="24"/>
          <w:szCs w:val="24"/>
          <w:lang w:val="en-GB"/>
        </w:rPr>
        <w:t xml:space="preserve"> lähenemisviis toetab säästvaid põllumajandustavasid, vähendades vajadust keemiliste </w:t>
      </w:r>
      <w:r>
        <w:rPr>
          <w:rFonts w:cs="Times New Roman" w:ascii="Times New Roman" w:hAnsi="Times New Roman"/>
          <w:sz w:val="24"/>
          <w:szCs w:val="24"/>
          <w:lang w:val="en-GB"/>
        </w:rPr>
        <w:t>tõrjevahendite</w:t>
      </w:r>
      <w:r>
        <w:rPr>
          <w:rFonts w:cs="Times New Roman" w:ascii="Times New Roman" w:hAnsi="Times New Roman"/>
          <w:sz w:val="24"/>
          <w:szCs w:val="24"/>
          <w:lang w:val="en-GB"/>
        </w:rPr>
        <w:t>, näiteks glüfosaadi järele.</w:t>
      </w:r>
    </w:p>
    <w:p>
      <w:pPr>
        <w:pStyle w:val="Normal"/>
        <w:spacing w:lineRule="auto" w:line="276"/>
        <w:rPr/>
      </w:pPr>
      <w:r>
        <w:rPr>
          <w:rFonts w:cs="Times New Roman" w:ascii="Times New Roman" w:hAnsi="Times New Roman"/>
          <w:sz w:val="24"/>
          <w:szCs w:val="24"/>
          <w:lang w:val="en-GB"/>
        </w:rPr>
        <w:t>- Oleme kolmanda kettatelje</w:t>
      </w:r>
      <w:r>
        <w:rPr>
          <w:rFonts w:cs="Times New Roman" w:ascii="Times New Roman" w:hAnsi="Times New Roman"/>
          <w:sz w:val="24"/>
          <w:szCs w:val="24"/>
          <w:lang w:val="en-GB"/>
        </w:rPr>
        <w:t>ga</w:t>
      </w:r>
      <w:r>
        <w:rPr>
          <w:rFonts w:cs="Times New Roman" w:ascii="Times New Roman" w:hAnsi="Times New Roman"/>
          <w:sz w:val="24"/>
          <w:szCs w:val="24"/>
          <w:lang w:val="en-GB"/>
        </w:rPr>
        <w:t xml:space="preserve"> e</w:t>
      </w:r>
      <w:r>
        <w:rPr>
          <w:rFonts w:cs="Times New Roman" w:ascii="Times New Roman" w:hAnsi="Times New Roman"/>
          <w:sz w:val="24"/>
          <w:szCs w:val="24"/>
          <w:lang w:val="en-GB"/>
        </w:rPr>
        <w:t>es</w:t>
      </w:r>
      <w:r>
        <w:rPr>
          <w:rFonts w:cs="Times New Roman" w:ascii="Times New Roman" w:hAnsi="Times New Roman"/>
          <w:sz w:val="24"/>
          <w:szCs w:val="24"/>
          <w:lang w:val="en-GB"/>
        </w:rPr>
        <w:t xml:space="preserve">riista </w:t>
      </w:r>
      <w:r>
        <w:rPr>
          <w:rFonts w:cs="Times New Roman" w:ascii="Times New Roman" w:hAnsi="Times New Roman"/>
          <w:sz w:val="24"/>
          <w:szCs w:val="24"/>
          <w:lang w:val="en-GB"/>
        </w:rPr>
        <w:t>loonud</w:t>
      </w:r>
      <w:r>
        <w:rPr>
          <w:rFonts w:cs="Times New Roman" w:ascii="Times New Roman" w:hAnsi="Times New Roman"/>
          <w:sz w:val="24"/>
          <w:szCs w:val="24"/>
          <w:lang w:val="en-GB"/>
        </w:rPr>
        <w:t xml:space="preserve"> nii, et see tagaks suurema intensiivsuse, parema segamise ja umbroh</w:t>
      </w:r>
      <w:r>
        <w:rPr>
          <w:rFonts w:cs="Times New Roman" w:ascii="Times New Roman" w:hAnsi="Times New Roman"/>
          <w:sz w:val="24"/>
          <w:szCs w:val="24"/>
          <w:lang w:val="en-GB"/>
        </w:rPr>
        <w:t>tude</w:t>
      </w:r>
      <w:r>
        <w:rPr>
          <w:rFonts w:cs="Times New Roman" w:ascii="Times New Roman" w:hAnsi="Times New Roman"/>
          <w:sz w:val="24"/>
          <w:szCs w:val="24"/>
          <w:lang w:val="en-GB"/>
        </w:rPr>
        <w:t xml:space="preserve"> ning seemne</w:t>
      </w:r>
      <w:r>
        <w:rPr>
          <w:rFonts w:cs="Times New Roman" w:ascii="Times New Roman" w:hAnsi="Times New Roman"/>
          <w:sz w:val="24"/>
          <w:szCs w:val="24"/>
          <w:lang w:val="en-GB"/>
        </w:rPr>
        <w:t>varise jõudsa tärkamise</w:t>
      </w:r>
      <w:r>
        <w:rPr>
          <w:rFonts w:cs="Times New Roman" w:ascii="Times New Roman" w:hAnsi="Times New Roman"/>
          <w:sz w:val="24"/>
          <w:szCs w:val="24"/>
          <w:lang w:val="en-GB"/>
        </w:rPr>
        <w:t xml:space="preserve">. Samal ajal </w:t>
      </w:r>
      <w:r>
        <w:rPr>
          <w:rFonts w:cs="Times New Roman" w:ascii="Times New Roman" w:hAnsi="Times New Roman"/>
          <w:sz w:val="24"/>
          <w:szCs w:val="24"/>
          <w:lang w:val="en-GB"/>
        </w:rPr>
        <w:t>säilitatakse</w:t>
      </w:r>
      <w:r>
        <w:rPr>
          <w:rFonts w:cs="Times New Roman" w:ascii="Times New Roman" w:hAnsi="Times New Roman"/>
          <w:sz w:val="24"/>
          <w:szCs w:val="24"/>
          <w:lang w:val="en-GB"/>
        </w:rPr>
        <w:t xml:space="preserve"> mulla niiskus ja struktuur,“ </w:t>
      </w:r>
      <w:r>
        <w:rPr>
          <w:rFonts w:cs="Times New Roman" w:ascii="Times New Roman" w:hAnsi="Times New Roman"/>
          <w:sz w:val="24"/>
          <w:szCs w:val="24"/>
          <w:lang w:val="en-GB"/>
        </w:rPr>
        <w:t>räägib</w:t>
      </w:r>
      <w:r>
        <w:rPr>
          <w:rFonts w:cs="Times New Roman" w:ascii="Times New Roman" w:hAnsi="Times New Roman"/>
          <w:sz w:val="24"/>
          <w:szCs w:val="24"/>
          <w:lang w:val="en-GB"/>
        </w:rPr>
        <w:t xml:space="preserve"> Wolfram Hastolz.</w:t>
      </w:r>
    </w:p>
    <w:p>
      <w:pPr>
        <w:pStyle w:val="Normal"/>
        <w:spacing w:lineRule="auto" w:line="276"/>
        <w:rPr/>
      </w:pPr>
      <w:r>
        <w:rPr>
          <w:rFonts w:cs="Times New Roman" w:ascii="Times New Roman" w:hAnsi="Times New Roman"/>
          <w:sz w:val="24"/>
          <w:szCs w:val="24"/>
          <w:lang w:val="en-GB"/>
        </w:rPr>
        <w:t xml:space="preserve">Kolmas </w:t>
      </w:r>
      <w:r>
        <w:rPr>
          <w:rFonts w:cs="Times New Roman" w:ascii="Times New Roman" w:hAnsi="Times New Roman"/>
          <w:sz w:val="24"/>
          <w:szCs w:val="24"/>
          <w:lang w:val="en-GB"/>
        </w:rPr>
        <w:t>kettatelg</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on</w:t>
      </w:r>
      <w:r>
        <w:rPr>
          <w:rFonts w:cs="Times New Roman" w:ascii="Times New Roman" w:hAnsi="Times New Roman"/>
          <w:sz w:val="24"/>
          <w:szCs w:val="24"/>
          <w:lang w:val="en-GB"/>
        </w:rPr>
        <w:t xml:space="preserve"> Carrieri standard</w:t>
      </w:r>
      <w:r>
        <w:rPr>
          <w:rFonts w:cs="Times New Roman" w:ascii="Times New Roman" w:hAnsi="Times New Roman"/>
          <w:sz w:val="24"/>
          <w:szCs w:val="24"/>
          <w:lang w:val="en-GB"/>
        </w:rPr>
        <w:t>sete</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kettavannastega</w:t>
      </w:r>
      <w:r>
        <w:rPr>
          <w:rFonts w:cs="Times New Roman" w:ascii="Times New Roman" w:hAnsi="Times New Roman"/>
          <w:sz w:val="24"/>
          <w:szCs w:val="24"/>
          <w:lang w:val="en-GB"/>
        </w:rPr>
        <w:t xml:space="preserve">, millele saab paigaldada kas CrossCutter Disc, CrossCutter Disc Aggressive, 450 mm kettaid või 470 TrueCut kettaid. See </w:t>
      </w:r>
      <w:r>
        <w:rPr>
          <w:rFonts w:cs="Times New Roman" w:ascii="Times New Roman" w:hAnsi="Times New Roman"/>
          <w:sz w:val="24"/>
          <w:szCs w:val="24"/>
          <w:lang w:val="en-GB"/>
        </w:rPr>
        <w:t>annab</w:t>
      </w:r>
      <w:r>
        <w:rPr>
          <w:rFonts w:cs="Times New Roman" w:ascii="Times New Roman" w:hAnsi="Times New Roman"/>
          <w:sz w:val="24"/>
          <w:szCs w:val="24"/>
          <w:lang w:val="en-GB"/>
        </w:rPr>
        <w:t xml:space="preserve"> põllumehele võimaluse masinat </w:t>
      </w:r>
      <w:r>
        <w:rPr>
          <w:rFonts w:cs="Times New Roman" w:ascii="Times New Roman" w:hAnsi="Times New Roman"/>
          <w:sz w:val="24"/>
          <w:szCs w:val="24"/>
          <w:lang w:val="en-GB"/>
        </w:rPr>
        <w:t>sobivate ketastega</w:t>
      </w:r>
      <w:r>
        <w:rPr>
          <w:rFonts w:cs="Times New Roman" w:ascii="Times New Roman" w:hAnsi="Times New Roman"/>
          <w:sz w:val="24"/>
          <w:szCs w:val="24"/>
          <w:lang w:val="en-GB"/>
        </w:rPr>
        <w:t xml:space="preserve"> varustada </w:t>
      </w:r>
      <w:r>
        <w:rPr>
          <w:rFonts w:cs="Times New Roman" w:ascii="Times New Roman" w:hAnsi="Times New Roman"/>
          <w:sz w:val="24"/>
          <w:szCs w:val="24"/>
          <w:lang w:val="en-GB"/>
        </w:rPr>
        <w:t>nii</w:t>
      </w:r>
      <w:r>
        <w:rPr>
          <w:rFonts w:cs="Times New Roman" w:ascii="Times New Roman" w:hAnsi="Times New Roman"/>
          <w:sz w:val="24"/>
          <w:szCs w:val="24"/>
          <w:lang w:val="en-GB"/>
        </w:rPr>
        <w:t xml:space="preserve">, et see sobiks väga erinevate põllumajandustingimustega. </w:t>
      </w:r>
    </w:p>
    <w:p>
      <w:pPr>
        <w:pStyle w:val="Normal"/>
        <w:spacing w:lineRule="auto" w:line="276"/>
        <w:rPr/>
      </w:pPr>
      <w:r>
        <w:rPr>
          <w:rFonts w:cs="Times New Roman" w:ascii="Times New Roman" w:hAnsi="Times New Roman"/>
          <w:sz w:val="24"/>
          <w:szCs w:val="24"/>
          <w:lang w:val="en-GB"/>
        </w:rPr>
        <w:t>Uus kolmas ket</w:t>
      </w:r>
      <w:r>
        <w:rPr>
          <w:rFonts w:cs="Times New Roman" w:ascii="Times New Roman" w:hAnsi="Times New Roman"/>
          <w:sz w:val="24"/>
          <w:szCs w:val="24"/>
          <w:lang w:val="en-GB"/>
        </w:rPr>
        <w:t>tatelg</w:t>
      </w:r>
      <w:r>
        <w:rPr>
          <w:rFonts w:cs="Times New Roman" w:ascii="Times New Roman" w:hAnsi="Times New Roman"/>
          <w:sz w:val="24"/>
          <w:szCs w:val="24"/>
          <w:lang w:val="en-GB"/>
        </w:rPr>
        <w:t xml:space="preserve"> on saadaval eesriistana nii Carrier XT 425-625 kui ka Carrier XL 425-725 mudelitele alates 2025. aasta oktoobrist, tarned algavad 2026. aasta kevadel. Masinate esmaesitlus toimub Agritechnica 2025 messil.</w:t>
      </w:r>
    </w:p>
    <w:p>
      <w:pPr>
        <w:pStyle w:val="Normal"/>
        <w:spacing w:lineRule="auto" w:line="276"/>
        <w:rPr>
          <w:rFonts w:ascii="Times New Roman" w:hAnsi="Times New Roman" w:cs="Times New Roman"/>
          <w:sz w:val="24"/>
          <w:szCs w:val="24"/>
          <w:lang w:val="en-GB"/>
        </w:rPr>
      </w:pPr>
      <w:r>
        <w:rPr/>
      </w:r>
    </w:p>
    <w:p>
      <w:pPr>
        <w:pStyle w:val="Normal"/>
        <w:spacing w:lineRule="auto" w:line="276"/>
        <w:rPr/>
      </w:pPr>
      <w:r>
        <w:rPr>
          <w:rFonts w:cs="Times New Roman" w:ascii="Times New Roman" w:hAnsi="Times New Roman"/>
          <w:lang w:val="en-GB"/>
        </w:rPr>
        <w:t>Lisateabe saamiseks võtke julgelt ühendust:</w:t>
      </w:r>
    </w:p>
    <w:p>
      <w:pPr>
        <w:pStyle w:val="Normal"/>
        <w:spacing w:lineRule="auto" w:line="276"/>
        <w:rPr>
          <w:rFonts w:ascii="Times New Roman" w:hAnsi="Times New Roman" w:cs="Times New Roman"/>
          <w:b/>
          <w:b/>
          <w:lang w:val="en-GB"/>
        </w:rPr>
      </w:pPr>
      <w:r>
        <w:rPr>
          <w:rFonts w:cs="Times New Roman" w:ascii="Times New Roman" w:hAnsi="Times New Roman"/>
          <w:b/>
          <w:lang w:val="en-GB"/>
        </w:rPr>
        <w:br/>
        <w:t>Vilhelm Ektander</w:t>
      </w:r>
    </w:p>
    <w:p>
      <w:pPr>
        <w:pStyle w:val="Normal"/>
        <w:spacing w:lineRule="auto" w:line="276"/>
        <w:rPr/>
      </w:pPr>
      <w:r>
        <w:rPr>
          <w:rFonts w:cs="Times New Roman" w:ascii="Times New Roman" w:hAnsi="Times New Roman"/>
          <w:i/>
          <w:lang w:val="en-GB"/>
        </w:rPr>
        <w:t xml:space="preserve">Tooteturunduse juht </w:t>
        <w:br/>
      </w:r>
      <w:r>
        <w:rPr>
          <w:rFonts w:cs="Times New Roman" w:ascii="Times New Roman" w:hAnsi="Times New Roman"/>
          <w:lang w:val="en-GB"/>
        </w:rPr>
        <w:t>Väderstad</w:t>
        <w:br/>
        <w:t>+46 142 820 45</w:t>
        <w:br/>
        <w:t>vilhelm.ektander@vaderstad.com</w:t>
      </w:r>
    </w:p>
    <w:p>
      <w:pPr>
        <w:pStyle w:val="Normal"/>
        <w:spacing w:lineRule="auto" w:line="276"/>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br/>
      </w:r>
    </w:p>
    <w:p>
      <w:pPr>
        <w:pStyle w:val="Normal"/>
        <w:rPr/>
      </w:pPr>
      <w:r>
        <w:rPr>
          <w:rFonts w:cs="Times New Roman" w:ascii="Times New Roman" w:hAnsi="Times New Roman"/>
          <w:b/>
          <w:bCs/>
          <w:lang w:val="en-GB"/>
        </w:rPr>
        <w:t>Väderstadist</w:t>
      </w:r>
    </w:p>
    <w:p>
      <w:pPr>
        <w:pStyle w:val="Normal"/>
        <w:spacing w:before="0" w:after="160"/>
        <w:rPr>
          <w:b w:val="false"/>
          <w:b w:val="false"/>
          <w:bCs w:val="false"/>
        </w:rPr>
      </w:pPr>
      <w:r>
        <w:rPr>
          <w:rFonts w:eastAsia="Times New Roman" w:cs="Times New Roman" w:ascii="Times New Roman" w:hAnsi="Times New Roman"/>
          <w:b w:val="false"/>
          <w:bCs w:val="false"/>
          <w:color w:val="000000" w:themeColor="text1"/>
          <w:lang w:val="en-US"/>
        </w:rPr>
        <w:t xml:space="preserve">Väderstad varustab kaasaegset põllumajandust innovaatiliste, kõrge efektiivsusega põllumajandusmasinate ja -meetoditega. Lihtsustades tööd ja parandades põllumeeste tulemusi, on ettevõtte visioon saada erakordse taimede tärkamise saavutamisel maailma juhtivaks partneriks. Väderstad on perekontsern peakorteriga Väderstad'is, Rootsis. Ettevõte on esindatud 40 riigis ja kõikidel kontinentidel. 2024. aastal oli Väderstad'il 1900 töötajat ja käive 6,1 miljardit Rootsi krooni. </w:t>
      </w:r>
    </w:p>
    <w:sectPr>
      <w:headerReference w:type="default" r:id="rId2"/>
      <w:footerReference w:type="default" r:id="rId3"/>
      <w:type w:val="nextPage"/>
      <w:pgSz w:w="11906" w:h="16838"/>
      <w:pgMar w:left="851" w:right="851" w:header="992" w:top="1559" w:footer="992" w:bottom="170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Cheltenham EC">
    <w:charset w:val="ba"/>
    <w:family w:val="roman"/>
    <w:pitch w:val="variable"/>
  </w:font>
  <w:font w:name="Liberation Sans">
    <w:altName w:val="Arial"/>
    <w:charset w:val="ba"/>
    <w:family w:val="swiss"/>
    <w:pitch w:val="variable"/>
  </w:font>
  <w:font w:name="Cheltenham">
    <w:charset w:val="ba"/>
    <w:family w:val="roman"/>
    <w:pitch w:val="variable"/>
  </w:font>
  <w:font w:name="Times New Roman">
    <w:charset w:val="ba"/>
    <w:family w:val="roman"/>
    <w:pitch w:val="variable"/>
  </w:font>
  <w:font w:name="Georgia">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36"/>
      </w:rPr>
    </w:pPr>
    <w:r>
      <w:rPr>
        <w:sz w:val="36"/>
      </w:rPr>
    </w:r>
  </w:p>
  <w:p>
    <w:pPr>
      <w:pStyle w:val="Footer"/>
      <w:rPr/>
    </w:pPr>
    <w:r>
      <w:rPr/>
      <w:drawing>
        <wp:inline distT="0" distB="0" distL="0" distR="0">
          <wp:extent cx="6479540" cy="23876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1"/>
                  <a:stretch>
                    <a:fillRect/>
                  </a:stretch>
                </pic:blipFill>
                <pic:spPr bwMode="auto">
                  <a:xfrm>
                    <a:off x="0" y="0"/>
                    <a:ext cx="6479540" cy="238760"/>
                  </a:xfrm>
                  <a:prstGeom prst="rect">
                    <a:avLst/>
                  </a:prstGeom>
                </pic:spPr>
              </pic:pic>
            </a:graphicData>
          </a:graphic>
        </wp:inline>
      </w:drawing>
    </w:r>
  </w:p>
  <w:p>
    <w:pPr>
      <w:pStyle w:val="Footer"/>
      <w:rPr>
        <w:sz w:val="32"/>
      </w:rPr>
    </w:pPr>
    <w:r>
      <w:rPr>
        <w:sz w:val="32"/>
      </w:rPr>
      <w:drawing>
        <wp:anchor behindDoc="1" distT="0" distB="0" distL="114300" distR="114300" simplePos="0" locked="0" layoutInCell="1" allowOverlap="1" relativeHeight="3">
          <wp:simplePos x="0" y="0"/>
          <wp:positionH relativeFrom="column">
            <wp:posOffset>5024755</wp:posOffset>
          </wp:positionH>
          <wp:positionV relativeFrom="paragraph">
            <wp:posOffset>201295</wp:posOffset>
          </wp:positionV>
          <wp:extent cx="1447800" cy="237490"/>
          <wp:effectExtent l="0" t="0" r="0" b="0"/>
          <wp:wrapSquare wrapText="bothSides"/>
          <wp:docPr id="2"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
                  <pic:cNvPicPr>
                    <a:picLocks noChangeAspect="1" noChangeArrowheads="1"/>
                  </pic:cNvPicPr>
                </pic:nvPicPr>
                <pic:blipFill>
                  <a:blip r:embed="rId2"/>
                  <a:stretch>
                    <a:fillRect/>
                  </a:stretch>
                </pic:blipFill>
                <pic:spPr bwMode="auto">
                  <a:xfrm>
                    <a:off x="0" y="0"/>
                    <a:ext cx="1447800" cy="237490"/>
                  </a:xfrm>
                  <a:prstGeom prst="rect">
                    <a:avLst/>
                  </a:prstGeom>
                </pic:spPr>
              </pic:pic>
            </a:graphicData>
          </a:graphic>
        </wp:anchor>
      </w:drawing>
    </w:r>
  </w:p>
  <w:p>
    <w:pPr>
      <w:pStyle w:val="Footer"/>
      <w:rPr>
        <w:rFonts w:ascii="Times New Roman" w:hAnsi="Times New Roman" w:cs="Times New Roman"/>
        <w:sz w:val="20"/>
      </w:rPr>
    </w:pPr>
    <w:r>
      <w:rPr>
        <w:rFonts w:cs="Times New Roman" w:ascii="Times New Roman" w:hAnsi="Times New Roman"/>
        <w:sz w:val="20"/>
      </w:rPr>
      <w:t>www.vaderstad.com</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rFonts w:ascii="Times New Roman" w:hAnsi="Times New Roman" w:cs="Times New Roman"/>
        <w:sz w:val="20"/>
        <w:lang w:val="en-GB"/>
      </w:rPr>
    </w:pPr>
    <w:r>
      <w:rPr>
        <w:rFonts w:cs="Times New Roman" w:ascii="Times New Roman" w:hAnsi="Times New Roman"/>
        <w:sz w:val="20"/>
        <w:lang w:val="en-GB"/>
      </w:rPr>
      <w:t>September 22</w:t>
    </w:r>
    <w:r>
      <w:rPr>
        <w:rFonts w:cs="Times New Roman" w:ascii="Times New Roman" w:hAnsi="Times New Roman"/>
        <w:sz w:val="20"/>
        <w:vertAlign w:val="superscript"/>
        <w:lang w:val="en-GB"/>
      </w:rPr>
      <w:t>nd</w:t>
    </w:r>
    <w:r>
      <w:rPr>
        <w:rFonts w:cs="Times New Roman" w:ascii="Times New Roman" w:hAnsi="Times New Roman"/>
        <w:sz w:val="20"/>
        <w:lang w:val="en-GB"/>
      </w:rPr>
      <w:t>, 2025</w:t>
    </w:r>
  </w:p>
  <w:p>
    <w:pPr>
      <w:pStyle w:val="Normal"/>
      <w:spacing w:before="0" w:after="160"/>
      <w:rPr>
        <w:rFonts w:ascii="Georgia" w:hAnsi="Georgia"/>
        <w:sz w:val="20"/>
      </w:rPr>
    </w:pPr>
    <w:r>
      <w:rPr>
        <w:rFonts w:ascii="Georgia" w:hAnsi="Georgia"/>
        <w:sz w:val="20"/>
      </w:rPr>
    </w:r>
  </w:p>
</w:hdr>
</file>

<file path=word/settings.xml><?xml version="1.0" encoding="utf-8"?>
<w:settings xmlns:w="http://schemas.openxmlformats.org/wordprocessingml/2006/main">
  <w:zoom w:percent="232"/>
  <w:defaultTabStop w:val="130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sv-S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v-SE"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d034d"/>
    <w:pPr>
      <w:widowControl/>
      <w:bidi w:val="0"/>
      <w:spacing w:lineRule="auto" w:line="259" w:before="0" w:after="160"/>
      <w:jc w:val="left"/>
    </w:pPr>
    <w:rPr>
      <w:rFonts w:ascii="Cheltenham EC" w:hAnsi="Cheltenham EC" w:eastAsia="Calibri" w:cs="" w:cstheme="minorBidi" w:eastAsiaTheme="minorHAnsi"/>
      <w:color w:val="auto"/>
      <w:kern w:val="0"/>
      <w:sz w:val="22"/>
      <w:szCs w:val="22"/>
      <w:lang w:val="sv-SE"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d95dd6"/>
    <w:rPr>
      <w:rFonts w:ascii="Cheltenham EC" w:hAnsi="Cheltenham EC"/>
    </w:rPr>
  </w:style>
  <w:style w:type="character" w:styleId="FooterChar" w:customStyle="1">
    <w:name w:val="Footer Char"/>
    <w:basedOn w:val="DefaultParagraphFont"/>
    <w:link w:val="Footer"/>
    <w:uiPriority w:val="99"/>
    <w:qFormat/>
    <w:rsid w:val="00d95dd6"/>
    <w:rPr>
      <w:rFonts w:ascii="Cheltenham EC" w:hAnsi="Cheltenham EC"/>
    </w:rPr>
  </w:style>
  <w:style w:type="character" w:styleId="InternetLink">
    <w:name w:val="Internet 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qFormat/>
    <w:rsid w:val="00d95dd6"/>
    <w:rPr>
      <w:color w:val="954F72" w:themeColor="followedHyperlink"/>
      <w:u w:val="single"/>
    </w:rPr>
  </w:style>
  <w:style w:type="character" w:styleId="A2" w:customStyle="1">
    <w:name w:val="A2"/>
    <w:uiPriority w:val="99"/>
    <w:qFormat/>
    <w:rsid w:val="00d8750f"/>
    <w:rPr>
      <w:rFonts w:cs="Cheltenham"/>
      <w:color w:val="221E1F"/>
      <w:sz w:val="18"/>
      <w:szCs w:val="18"/>
    </w:rPr>
  </w:style>
  <w:style w:type="paragraph" w:styleId="Heading">
    <w:name w:val="Heading"/>
    <w:basedOn w:val="Normal"/>
    <w:next w:val="TextBody"/>
    <w:qFormat/>
    <w:pPr>
      <w:keepNext w:val="true"/>
      <w:spacing w:before="240" w:after="120"/>
    </w:pPr>
    <w:rPr>
      <w:rFonts w:ascii="Liberation Sans" w:hAnsi="Liberation Sans" w:eastAsia="Microsoft YaHei"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HeaderandFooter">
    <w:name w:val="Header and Footer"/>
    <w:basedOn w:val="Normal"/>
    <w:qFormat/>
    <w:pPr/>
    <w:rPr/>
  </w:style>
  <w:style w:type="paragraph" w:styleId="Header">
    <w:name w:val="Header"/>
    <w:basedOn w:val="Normal"/>
    <w:link w:val="HeaderChar"/>
    <w:uiPriority w:val="99"/>
    <w:unhideWhenUsed/>
    <w:rsid w:val="00d95dd6"/>
    <w:pPr>
      <w:tabs>
        <w:tab w:val="clear" w:pos="1304"/>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d95dd6"/>
    <w:pPr>
      <w:tabs>
        <w:tab w:val="clear" w:pos="1304"/>
        <w:tab w:val="center" w:pos="4536" w:leader="none"/>
        <w:tab w:val="right" w:pos="9072" w:leader="none"/>
      </w:tabs>
      <w:spacing w:lineRule="auto" w:line="240" w:before="0" w:after="0"/>
    </w:pPr>
    <w:rPr/>
  </w:style>
  <w:style w:type="paragraph" w:styleId="Default" w:customStyle="1">
    <w:name w:val="Default"/>
    <w:qFormat/>
    <w:rsid w:val="00d8750f"/>
    <w:pPr>
      <w:widowControl/>
      <w:bidi w:val="0"/>
      <w:spacing w:lineRule="auto" w:line="240" w:before="0" w:after="0"/>
      <w:jc w:val="left"/>
    </w:pPr>
    <w:rPr>
      <w:rFonts w:ascii="Cheltenham" w:hAnsi="Cheltenham" w:eastAsia="Calibri" w:cs="Cheltenham"/>
      <w:color w:val="000000"/>
      <w:kern w:val="0"/>
      <w:sz w:val="24"/>
      <w:szCs w:val="24"/>
      <w:lang w:eastAsia="sv-SE" w:val="sv-SE" w:bidi="ar-SA"/>
    </w:rPr>
  </w:style>
  <w:style w:type="paragraph" w:styleId="ListParagraph">
    <w:name w:val="List Paragraph"/>
    <w:basedOn w:val="Normal"/>
    <w:uiPriority w:val="34"/>
    <w:qFormat/>
    <w:rsid w:val="007b4761"/>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_rels/foot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7319-E51F-4F12-A92B-48F0D888F86E}">
  <ds:schemaRefs>
    <ds:schemaRef ds:uri="http://purl.org/dc/terms/"/>
    <ds:schemaRef ds:uri="http://schemas.openxmlformats.org/package/2006/metadata/core-properties"/>
    <ds:schemaRef ds:uri="14801834-2504-400a-bd2a-48b30afbf4f5"/>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09a9d7-2276-4da5-ab8f-2338a346a853"/>
    <ds:schemaRef ds:uri="http://www.w3.org/XML/1998/namespace"/>
  </ds:schemaRefs>
</ds:datastoreItem>
</file>

<file path=customXml/itemProps3.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LibreOffice/6.3.6.2$Windows_x86 LibreOffice_project/2196df99b074d8a661f4036fca8fa0cbfa33a497</Application>
  <Pages>2</Pages>
  <Words>381</Words>
  <Characters>2778</Characters>
  <CharactersWithSpaces>3147</CharactersWithSpaces>
  <Paragraphs>18</Paragraphs>
  <Company>Vaderstad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2025-09-12T09:13:00Z</dcterms:created>
  <dc:creator>Ektander Vilhelm</dc:creator>
  <dc:description/>
  <dc:language>et-EE</dc:language>
  <cp:lastModifiedBy/>
  <dcterms:modified xsi:type="dcterms:W3CDTF">2025-09-19T11:55:33Z</dcterms:modified>
  <cp:revision>11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Vaderstad</vt:lpwstr>
  </property>
  <property fmtid="{D5CDD505-2E9C-101B-9397-08002B2CF9AE}" pid="4" name="ComplianceAssetId">
    <vt:lpwstr/>
  </property>
  <property fmtid="{D5CDD505-2E9C-101B-9397-08002B2CF9AE}" pid="5" name="ContentTypeId">
    <vt:lpwstr>0x0101003CD49ADEFE7EC8419CD16B19CEDF0AE8</vt:lpwstr>
  </property>
  <property fmtid="{D5CDD505-2E9C-101B-9397-08002B2CF9AE}" pid="6" name="DocSecurity">
    <vt:i4>0</vt:i4>
  </property>
  <property fmtid="{D5CDD505-2E9C-101B-9397-08002B2CF9AE}" pid="7" name="HyperlinksChanged">
    <vt:bool>0</vt:bool>
  </property>
  <property fmtid="{D5CDD505-2E9C-101B-9397-08002B2CF9AE}" pid="8" name="LinksUpToDate">
    <vt:bool>0</vt:bool>
  </property>
  <property fmtid="{D5CDD505-2E9C-101B-9397-08002B2CF9AE}" pid="9" name="MediaServiceImageTags">
    <vt:lpwstr/>
  </property>
  <property fmtid="{D5CDD505-2E9C-101B-9397-08002B2CF9AE}" pid="10" name="ScaleCrop">
    <vt:bool>0</vt:bool>
  </property>
  <property fmtid="{D5CDD505-2E9C-101B-9397-08002B2CF9AE}" pid="11" name="ShareDoc">
    <vt:bool>0</vt:bool>
  </property>
  <property fmtid="{D5CDD505-2E9C-101B-9397-08002B2CF9AE}" pid="12" name="TemplateUrl">
    <vt:lpwstr/>
  </property>
  <property fmtid="{D5CDD505-2E9C-101B-9397-08002B2CF9AE}" pid="13" name="TriggerFlowInfo">
    <vt:lpwstr/>
  </property>
  <property fmtid="{D5CDD505-2E9C-101B-9397-08002B2CF9AE}" pid="14" name="_ExtendedDescription">
    <vt:lpwstr/>
  </property>
  <property fmtid="{D5CDD505-2E9C-101B-9397-08002B2CF9AE}" pid="15" name="docLang">
    <vt:lpwstr>en</vt:lpwstr>
  </property>
  <property fmtid="{D5CDD505-2E9C-101B-9397-08002B2CF9AE}" pid="16" name="xd_ProgID">
    <vt:lpwstr/>
  </property>
  <property fmtid="{D5CDD505-2E9C-101B-9397-08002B2CF9AE}" pid="17" name="xd_Signature">
    <vt:bool>0</vt:bool>
  </property>
</Properties>
</file>